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5E1" w:rsidRDefault="0018049C" w:rsidP="00DB25E1">
      <w:pPr>
        <w:pStyle w:val="Default"/>
        <w:jc w:val="both"/>
        <w:rPr>
          <w:b/>
          <w:bCs/>
          <w:sz w:val="22"/>
          <w:szCs w:val="22"/>
          <w:lang w:val="en-US"/>
        </w:rPr>
      </w:pPr>
      <w:r>
        <w:rPr>
          <w:b/>
          <w:bCs/>
          <w:sz w:val="22"/>
          <w:szCs w:val="22"/>
          <w:lang w:val="en-US"/>
        </w:rPr>
        <w:t>TITLE</w:t>
      </w:r>
    </w:p>
    <w:p w:rsidR="0018049C" w:rsidRDefault="0018049C" w:rsidP="00DB25E1">
      <w:pPr>
        <w:pStyle w:val="Default"/>
        <w:jc w:val="both"/>
        <w:rPr>
          <w:b/>
          <w:bCs/>
          <w:sz w:val="22"/>
          <w:szCs w:val="22"/>
          <w:lang w:val="en-US"/>
        </w:rPr>
      </w:pPr>
      <w:r>
        <w:rPr>
          <w:b/>
          <w:bCs/>
          <w:sz w:val="22"/>
          <w:szCs w:val="22"/>
          <w:lang w:val="en-US"/>
        </w:rPr>
        <w:t>Name and Surname</w:t>
      </w:r>
    </w:p>
    <w:p w:rsidR="0018049C" w:rsidRDefault="0018049C" w:rsidP="00DB25E1">
      <w:pPr>
        <w:pStyle w:val="Default"/>
        <w:jc w:val="both"/>
        <w:rPr>
          <w:b/>
          <w:bCs/>
          <w:sz w:val="22"/>
          <w:szCs w:val="22"/>
          <w:lang w:val="en-US"/>
        </w:rPr>
      </w:pPr>
      <w:r>
        <w:rPr>
          <w:b/>
          <w:bCs/>
          <w:sz w:val="22"/>
          <w:szCs w:val="22"/>
          <w:lang w:val="en-US"/>
        </w:rPr>
        <w:t>Institution</w:t>
      </w:r>
    </w:p>
    <w:p w:rsidR="0018049C" w:rsidRDefault="0018049C" w:rsidP="00DB25E1">
      <w:pPr>
        <w:pStyle w:val="Default"/>
        <w:jc w:val="both"/>
        <w:rPr>
          <w:b/>
          <w:bCs/>
          <w:sz w:val="22"/>
          <w:szCs w:val="22"/>
          <w:lang w:val="en-US"/>
        </w:rPr>
      </w:pPr>
      <w:r>
        <w:rPr>
          <w:b/>
          <w:bCs/>
          <w:sz w:val="22"/>
          <w:szCs w:val="22"/>
          <w:lang w:val="en-US"/>
        </w:rPr>
        <w:t>Starting year of PhD</w:t>
      </w:r>
    </w:p>
    <w:p w:rsidR="0018049C" w:rsidRPr="00DB25E1" w:rsidRDefault="0018049C" w:rsidP="00DB25E1">
      <w:pPr>
        <w:pStyle w:val="Default"/>
        <w:jc w:val="both"/>
        <w:rPr>
          <w:b/>
          <w:bCs/>
          <w:sz w:val="22"/>
          <w:szCs w:val="22"/>
          <w:lang w:val="en-US"/>
        </w:rPr>
      </w:pPr>
    </w:p>
    <w:p w:rsidR="00DB25E1" w:rsidRPr="00DB25E1" w:rsidRDefault="00DB25E1" w:rsidP="00DB25E1">
      <w:pPr>
        <w:pStyle w:val="Default"/>
        <w:jc w:val="both"/>
        <w:rPr>
          <w:sz w:val="22"/>
          <w:szCs w:val="22"/>
          <w:lang w:val="en-US"/>
        </w:rPr>
      </w:pPr>
      <w:r w:rsidRPr="00DB25E1">
        <w:rPr>
          <w:sz w:val="22"/>
          <w:szCs w:val="22"/>
          <w:lang w:val="en-US"/>
        </w:rPr>
        <w:t xml:space="preserve">In order to apply for the Grenoble’s AESOP </w:t>
      </w:r>
      <w:proofErr w:type="spellStart"/>
      <w:r w:rsidRPr="00DB25E1">
        <w:rPr>
          <w:sz w:val="22"/>
          <w:szCs w:val="22"/>
          <w:lang w:val="en-US"/>
        </w:rPr>
        <w:t>Phd</w:t>
      </w:r>
      <w:proofErr w:type="spellEnd"/>
      <w:r w:rsidRPr="00DB25E1">
        <w:rPr>
          <w:sz w:val="22"/>
          <w:szCs w:val="22"/>
          <w:lang w:val="en-US"/>
        </w:rPr>
        <w:t xml:space="preserve"> </w:t>
      </w:r>
      <w:proofErr w:type="spellStart"/>
      <w:r w:rsidRPr="00DB25E1">
        <w:rPr>
          <w:sz w:val="22"/>
          <w:szCs w:val="22"/>
          <w:lang w:val="en-US"/>
        </w:rPr>
        <w:t>Worshop</w:t>
      </w:r>
      <w:proofErr w:type="spellEnd"/>
      <w:r w:rsidRPr="00DB25E1">
        <w:rPr>
          <w:sz w:val="22"/>
          <w:szCs w:val="22"/>
          <w:lang w:val="en-US"/>
        </w:rPr>
        <w:t xml:space="preserve">, we ask you to submit (1) a Short CV, (2) an abstract of your </w:t>
      </w:r>
      <w:proofErr w:type="spellStart"/>
      <w:r w:rsidRPr="00DB25E1">
        <w:rPr>
          <w:sz w:val="22"/>
          <w:szCs w:val="22"/>
          <w:lang w:val="en-US"/>
        </w:rPr>
        <w:t>Phd</w:t>
      </w:r>
      <w:proofErr w:type="spellEnd"/>
      <w:r w:rsidRPr="00DB25E1">
        <w:rPr>
          <w:sz w:val="22"/>
          <w:szCs w:val="22"/>
          <w:lang w:val="en-US"/>
        </w:rPr>
        <w:t xml:space="preserve"> Thesis and (3) an extensive list of your publications and communications.  </w:t>
      </w:r>
    </w:p>
    <w:p w:rsidR="00DB25E1" w:rsidRPr="00DB25E1" w:rsidRDefault="00DB25E1" w:rsidP="00DB25E1">
      <w:pPr>
        <w:pStyle w:val="Default"/>
        <w:jc w:val="both"/>
        <w:rPr>
          <w:sz w:val="22"/>
          <w:szCs w:val="22"/>
          <w:lang w:val="en-US"/>
        </w:rPr>
      </w:pPr>
    </w:p>
    <w:p w:rsidR="00DB25E1" w:rsidRPr="00DB25E1" w:rsidRDefault="00DB25E1" w:rsidP="00DB25E1">
      <w:pPr>
        <w:pStyle w:val="Default"/>
        <w:jc w:val="both"/>
        <w:rPr>
          <w:b/>
          <w:bCs/>
          <w:sz w:val="22"/>
          <w:szCs w:val="22"/>
          <w:lang w:val="en-US"/>
        </w:rPr>
      </w:pPr>
      <w:r w:rsidRPr="00DB25E1">
        <w:rPr>
          <w:b/>
          <w:bCs/>
          <w:sz w:val="22"/>
          <w:szCs w:val="22"/>
          <w:lang w:val="en-US"/>
        </w:rPr>
        <w:t>(1) Short CV</w:t>
      </w:r>
    </w:p>
    <w:p w:rsidR="00DB25E1" w:rsidRPr="00DB25E1" w:rsidRDefault="00DB25E1" w:rsidP="00DB25E1">
      <w:pPr>
        <w:pStyle w:val="Default"/>
        <w:jc w:val="both"/>
        <w:rPr>
          <w:sz w:val="22"/>
          <w:szCs w:val="22"/>
          <w:lang w:val="en-US"/>
        </w:rPr>
      </w:pPr>
      <w:r w:rsidRPr="00DB25E1">
        <w:rPr>
          <w:sz w:val="22"/>
          <w:szCs w:val="22"/>
          <w:lang w:val="en-US"/>
        </w:rPr>
        <w:t xml:space="preserve">The </w:t>
      </w:r>
      <w:r>
        <w:rPr>
          <w:sz w:val="22"/>
          <w:szCs w:val="22"/>
          <w:lang w:val="en-US"/>
        </w:rPr>
        <w:t>CV</w:t>
      </w:r>
      <w:r w:rsidRPr="00DB25E1">
        <w:rPr>
          <w:sz w:val="22"/>
          <w:szCs w:val="22"/>
          <w:lang w:val="en-US"/>
        </w:rPr>
        <w:t xml:space="preserve"> should not exceed one page. Providing your current affiliation, background</w:t>
      </w:r>
      <w:r>
        <w:rPr>
          <w:sz w:val="22"/>
          <w:szCs w:val="22"/>
          <w:lang w:val="en-US"/>
        </w:rPr>
        <w:t xml:space="preserve"> and skills (teaching experience, etc.). </w:t>
      </w:r>
    </w:p>
    <w:p w:rsidR="00DB25E1" w:rsidRPr="00DB25E1" w:rsidRDefault="00DB25E1" w:rsidP="00DB25E1">
      <w:pPr>
        <w:pStyle w:val="Default"/>
        <w:jc w:val="both"/>
        <w:rPr>
          <w:sz w:val="22"/>
          <w:szCs w:val="22"/>
          <w:lang w:val="en-US"/>
        </w:rPr>
      </w:pPr>
    </w:p>
    <w:p w:rsidR="00DB25E1" w:rsidRPr="00DB25E1" w:rsidRDefault="00DB25E1" w:rsidP="00DB25E1">
      <w:pPr>
        <w:pStyle w:val="Default"/>
        <w:jc w:val="both"/>
        <w:rPr>
          <w:b/>
          <w:bCs/>
          <w:sz w:val="22"/>
          <w:szCs w:val="22"/>
          <w:lang w:val="en-US"/>
        </w:rPr>
      </w:pPr>
      <w:r w:rsidRPr="00DB25E1">
        <w:rPr>
          <w:b/>
          <w:bCs/>
          <w:sz w:val="22"/>
          <w:szCs w:val="22"/>
          <w:lang w:val="en-US"/>
        </w:rPr>
        <w:t xml:space="preserve">(2) An abstract of your </w:t>
      </w:r>
      <w:proofErr w:type="spellStart"/>
      <w:r w:rsidRPr="00DB25E1">
        <w:rPr>
          <w:b/>
          <w:bCs/>
          <w:sz w:val="22"/>
          <w:szCs w:val="22"/>
          <w:lang w:val="en-US"/>
        </w:rPr>
        <w:t>Phd</w:t>
      </w:r>
      <w:proofErr w:type="spellEnd"/>
      <w:r w:rsidRPr="00DB25E1">
        <w:rPr>
          <w:b/>
          <w:bCs/>
          <w:sz w:val="22"/>
          <w:szCs w:val="22"/>
          <w:lang w:val="en-US"/>
        </w:rPr>
        <w:t xml:space="preserve"> Thesis </w:t>
      </w:r>
    </w:p>
    <w:p w:rsidR="00DB25E1" w:rsidRPr="00DB25E1" w:rsidRDefault="00DB25E1" w:rsidP="00DB25E1">
      <w:pPr>
        <w:pStyle w:val="Default"/>
        <w:jc w:val="both"/>
        <w:rPr>
          <w:sz w:val="22"/>
          <w:szCs w:val="22"/>
          <w:lang w:val="en-US"/>
        </w:rPr>
      </w:pPr>
      <w:r w:rsidRPr="00DB25E1">
        <w:rPr>
          <w:sz w:val="22"/>
          <w:szCs w:val="22"/>
          <w:lang w:val="en-US"/>
        </w:rPr>
        <w:t xml:space="preserve">The abstract should not exceed 600 words (bibliography included). Providing three to five keywords and good quality English are expected. Make sure that the submission file is in DOC, DOCX, RTF or TXT file format. Use 11-point Arial font and single line spacing. Any additional element, such as a table or a figure, must be included in the document in its appropriate place. No additional file will be accepted. Please follow the Harvard referencing style, e.g., (Campbell, 2020), and arrange the reference list in the alphabetical order using the formatting examples: </w:t>
      </w:r>
    </w:p>
    <w:p w:rsidR="00DB25E1" w:rsidRPr="00DB25E1" w:rsidRDefault="00DB25E1" w:rsidP="00DB25E1">
      <w:pPr>
        <w:pStyle w:val="Default"/>
        <w:jc w:val="both"/>
        <w:rPr>
          <w:b/>
          <w:bCs/>
          <w:sz w:val="22"/>
          <w:szCs w:val="22"/>
          <w:lang w:val="en-US"/>
        </w:rPr>
      </w:pPr>
    </w:p>
    <w:p w:rsidR="00DB25E1" w:rsidRPr="00DB25E1" w:rsidRDefault="00DB25E1" w:rsidP="00DB25E1">
      <w:pPr>
        <w:pStyle w:val="Default"/>
        <w:ind w:left="708"/>
        <w:jc w:val="both"/>
        <w:rPr>
          <w:sz w:val="22"/>
          <w:szCs w:val="22"/>
          <w:lang w:val="en-US"/>
        </w:rPr>
      </w:pPr>
      <w:r w:rsidRPr="00DB25E1">
        <w:rPr>
          <w:b/>
          <w:bCs/>
          <w:sz w:val="22"/>
          <w:szCs w:val="22"/>
          <w:lang w:val="en-US"/>
        </w:rPr>
        <w:t xml:space="preserve">Book: </w:t>
      </w:r>
    </w:p>
    <w:p w:rsidR="00DB25E1" w:rsidRPr="00DB25E1" w:rsidRDefault="00DB25E1" w:rsidP="00DB25E1">
      <w:pPr>
        <w:pStyle w:val="Default"/>
        <w:ind w:left="708"/>
        <w:jc w:val="both"/>
        <w:rPr>
          <w:sz w:val="22"/>
          <w:szCs w:val="22"/>
          <w:lang w:val="en-US"/>
        </w:rPr>
      </w:pPr>
      <w:proofErr w:type="spellStart"/>
      <w:r w:rsidRPr="00DB25E1">
        <w:rPr>
          <w:sz w:val="22"/>
          <w:szCs w:val="22"/>
          <w:lang w:val="en-US"/>
        </w:rPr>
        <w:t>Sassen</w:t>
      </w:r>
      <w:proofErr w:type="spellEnd"/>
      <w:r w:rsidRPr="00DB25E1">
        <w:rPr>
          <w:sz w:val="22"/>
          <w:szCs w:val="22"/>
          <w:lang w:val="en-US"/>
        </w:rPr>
        <w:t xml:space="preserve">, Saskia (2011) </w:t>
      </w:r>
      <w:r w:rsidRPr="00DB25E1">
        <w:rPr>
          <w:i/>
          <w:iCs/>
          <w:sz w:val="22"/>
          <w:szCs w:val="22"/>
          <w:lang w:val="en-US"/>
        </w:rPr>
        <w:t>Cities in a world economy</w:t>
      </w:r>
      <w:r w:rsidRPr="00DB25E1">
        <w:rPr>
          <w:sz w:val="22"/>
          <w:szCs w:val="22"/>
          <w:lang w:val="en-US"/>
        </w:rPr>
        <w:t xml:space="preserve">. London: Sage Publications. </w:t>
      </w:r>
    </w:p>
    <w:p w:rsidR="00DB25E1" w:rsidRPr="00DB25E1" w:rsidRDefault="00DB25E1" w:rsidP="00DB25E1">
      <w:pPr>
        <w:pStyle w:val="Default"/>
        <w:ind w:left="708"/>
        <w:jc w:val="both"/>
        <w:rPr>
          <w:sz w:val="22"/>
          <w:szCs w:val="22"/>
          <w:lang w:val="en-US"/>
        </w:rPr>
      </w:pPr>
      <w:r w:rsidRPr="00DB25E1">
        <w:rPr>
          <w:b/>
          <w:bCs/>
          <w:sz w:val="22"/>
          <w:szCs w:val="22"/>
          <w:lang w:val="en-US"/>
        </w:rPr>
        <w:t xml:space="preserve">Chapter in a book: </w:t>
      </w:r>
    </w:p>
    <w:p w:rsidR="00DB25E1" w:rsidRPr="00DB25E1" w:rsidRDefault="00DB25E1" w:rsidP="00DB25E1">
      <w:pPr>
        <w:pStyle w:val="Default"/>
        <w:ind w:left="708"/>
        <w:jc w:val="both"/>
        <w:rPr>
          <w:sz w:val="22"/>
          <w:szCs w:val="22"/>
          <w:lang w:val="en-US"/>
        </w:rPr>
      </w:pPr>
      <w:r w:rsidRPr="00DB25E1">
        <w:rPr>
          <w:sz w:val="22"/>
          <w:szCs w:val="22"/>
          <w:lang w:val="en-US"/>
        </w:rPr>
        <w:t xml:space="preserve">Mandelbaum, S. (1996) The talk of the community. In Mandelbaum, S., Mazza, L. and Burchell, R. (eds.) </w:t>
      </w:r>
      <w:r w:rsidRPr="00DB25E1">
        <w:rPr>
          <w:i/>
          <w:iCs/>
          <w:sz w:val="22"/>
          <w:szCs w:val="22"/>
          <w:lang w:val="en-US"/>
        </w:rPr>
        <w:t>Explorations in planning theory</w:t>
      </w:r>
      <w:r w:rsidRPr="00DB25E1">
        <w:rPr>
          <w:sz w:val="22"/>
          <w:szCs w:val="22"/>
          <w:lang w:val="en-US"/>
        </w:rPr>
        <w:t xml:space="preserve">. New Brunswick, NJ: Center for Urban Policy Research. </w:t>
      </w:r>
    </w:p>
    <w:p w:rsidR="00DB25E1" w:rsidRPr="00DB25E1" w:rsidRDefault="00DB25E1" w:rsidP="00DB25E1">
      <w:pPr>
        <w:pStyle w:val="Default"/>
        <w:ind w:left="708"/>
        <w:jc w:val="both"/>
        <w:rPr>
          <w:sz w:val="22"/>
          <w:szCs w:val="22"/>
          <w:lang w:val="en-US"/>
        </w:rPr>
      </w:pPr>
      <w:r w:rsidRPr="00DB25E1">
        <w:rPr>
          <w:b/>
          <w:bCs/>
          <w:sz w:val="22"/>
          <w:szCs w:val="22"/>
          <w:lang w:val="en-US"/>
        </w:rPr>
        <w:t xml:space="preserve">Journal article: </w:t>
      </w:r>
    </w:p>
    <w:p w:rsidR="00DB25E1" w:rsidRPr="00DB25E1" w:rsidRDefault="00DB25E1" w:rsidP="00DB25E1">
      <w:pPr>
        <w:pStyle w:val="Default"/>
        <w:ind w:left="708"/>
        <w:jc w:val="both"/>
        <w:rPr>
          <w:sz w:val="22"/>
          <w:szCs w:val="22"/>
          <w:lang w:val="en-US"/>
        </w:rPr>
      </w:pPr>
      <w:r w:rsidRPr="00DB25E1">
        <w:rPr>
          <w:sz w:val="22"/>
          <w:szCs w:val="22"/>
          <w:lang w:val="en-US"/>
        </w:rPr>
        <w:t xml:space="preserve">Faludi, Andreas (2014) </w:t>
      </w:r>
      <w:proofErr w:type="spellStart"/>
      <w:r w:rsidRPr="00DB25E1">
        <w:rPr>
          <w:sz w:val="22"/>
          <w:szCs w:val="22"/>
          <w:lang w:val="en-US"/>
        </w:rPr>
        <w:t>EUropeanization</w:t>
      </w:r>
      <w:proofErr w:type="spellEnd"/>
      <w:r w:rsidRPr="00DB25E1">
        <w:rPr>
          <w:sz w:val="22"/>
          <w:szCs w:val="22"/>
          <w:lang w:val="en-US"/>
        </w:rPr>
        <w:t xml:space="preserve"> or Europeanization of spatial planning? </w:t>
      </w:r>
      <w:r w:rsidRPr="00DB25E1">
        <w:rPr>
          <w:i/>
          <w:iCs/>
          <w:sz w:val="22"/>
          <w:szCs w:val="22"/>
          <w:lang w:val="en-US"/>
        </w:rPr>
        <w:t>Planning Theory and Practice</w:t>
      </w:r>
      <w:r w:rsidRPr="00DB25E1">
        <w:rPr>
          <w:sz w:val="22"/>
          <w:szCs w:val="22"/>
          <w:lang w:val="en-US"/>
        </w:rPr>
        <w:t xml:space="preserve">, 15 (2), pp.155-169. </w:t>
      </w:r>
    </w:p>
    <w:p w:rsidR="00DB25E1" w:rsidRPr="00DB25E1" w:rsidRDefault="00DB25E1" w:rsidP="00DB25E1">
      <w:pPr>
        <w:pStyle w:val="Default"/>
        <w:ind w:left="708"/>
        <w:jc w:val="both"/>
        <w:rPr>
          <w:sz w:val="22"/>
          <w:szCs w:val="22"/>
          <w:lang w:val="en-US"/>
        </w:rPr>
      </w:pPr>
      <w:r w:rsidRPr="00DB25E1">
        <w:rPr>
          <w:b/>
          <w:bCs/>
          <w:sz w:val="22"/>
          <w:szCs w:val="22"/>
          <w:lang w:val="en-US"/>
        </w:rPr>
        <w:t xml:space="preserve">Other documents: </w:t>
      </w:r>
    </w:p>
    <w:p w:rsidR="00DB25E1" w:rsidRPr="00DB25E1" w:rsidRDefault="00DB25E1" w:rsidP="00DB25E1">
      <w:pPr>
        <w:pStyle w:val="Default"/>
        <w:ind w:left="708"/>
        <w:jc w:val="both"/>
        <w:rPr>
          <w:sz w:val="22"/>
          <w:szCs w:val="22"/>
          <w:lang w:val="en-US"/>
        </w:rPr>
      </w:pPr>
      <w:r w:rsidRPr="00DB25E1">
        <w:rPr>
          <w:sz w:val="22"/>
          <w:szCs w:val="22"/>
          <w:lang w:val="en-US"/>
        </w:rPr>
        <w:t xml:space="preserve">OECD (2019) </w:t>
      </w:r>
      <w:r w:rsidRPr="00DB25E1">
        <w:rPr>
          <w:i/>
          <w:iCs/>
          <w:sz w:val="22"/>
          <w:szCs w:val="22"/>
          <w:lang w:val="en-US"/>
        </w:rPr>
        <w:t xml:space="preserve">The circular economy in cities and regions. </w:t>
      </w:r>
      <w:r w:rsidRPr="00DB25E1">
        <w:rPr>
          <w:sz w:val="22"/>
          <w:szCs w:val="22"/>
          <w:lang w:val="en-US"/>
        </w:rPr>
        <w:t xml:space="preserve">[Online] available at: https://www.oecd.org/cfe/regionaldevelopment/circular-economy-cities.htm </w:t>
      </w:r>
    </w:p>
    <w:p w:rsidR="00DB25E1" w:rsidRPr="00DB25E1" w:rsidRDefault="00DB25E1" w:rsidP="00DB25E1">
      <w:pPr>
        <w:ind w:left="708"/>
        <w:jc w:val="both"/>
        <w:rPr>
          <w:sz w:val="22"/>
          <w:szCs w:val="22"/>
          <w:lang w:val="en-US"/>
        </w:rPr>
      </w:pPr>
      <w:r w:rsidRPr="00DB25E1">
        <w:rPr>
          <w:sz w:val="22"/>
          <w:szCs w:val="22"/>
          <w:lang w:val="en-US"/>
        </w:rPr>
        <w:t xml:space="preserve">Friedmann, John (2004) </w:t>
      </w:r>
      <w:r w:rsidRPr="00DB25E1">
        <w:rPr>
          <w:i/>
          <w:iCs/>
          <w:sz w:val="22"/>
          <w:szCs w:val="22"/>
          <w:lang w:val="en-US"/>
        </w:rPr>
        <w:t xml:space="preserve">Globalization and the emerging culture of planning </w:t>
      </w:r>
      <w:r w:rsidRPr="00DB25E1">
        <w:rPr>
          <w:sz w:val="22"/>
          <w:szCs w:val="22"/>
          <w:lang w:val="en-US"/>
        </w:rPr>
        <w:t>(revised version of a paper originally prepared for UN-HABITAT). University of British Columbia.</w:t>
      </w:r>
    </w:p>
    <w:p w:rsidR="00DB25E1" w:rsidRPr="00DB25E1" w:rsidRDefault="00DB25E1" w:rsidP="00DB25E1">
      <w:pPr>
        <w:jc w:val="both"/>
        <w:rPr>
          <w:sz w:val="22"/>
          <w:szCs w:val="22"/>
          <w:lang w:val="en-US"/>
        </w:rPr>
      </w:pPr>
    </w:p>
    <w:p w:rsidR="00DB25E1" w:rsidRPr="00DB25E1" w:rsidRDefault="00DB25E1" w:rsidP="00DB25E1">
      <w:pPr>
        <w:pStyle w:val="Default"/>
        <w:jc w:val="both"/>
        <w:rPr>
          <w:b/>
          <w:bCs/>
          <w:sz w:val="22"/>
          <w:szCs w:val="22"/>
          <w:lang w:val="en-US"/>
        </w:rPr>
      </w:pPr>
      <w:r w:rsidRPr="00DB25E1">
        <w:rPr>
          <w:b/>
          <w:bCs/>
          <w:sz w:val="22"/>
          <w:szCs w:val="22"/>
          <w:lang w:val="en-US"/>
        </w:rPr>
        <w:t xml:space="preserve">(3) An extensive list of your publications and communications.  </w:t>
      </w:r>
    </w:p>
    <w:p w:rsidR="00DB25E1" w:rsidRPr="00DB25E1" w:rsidRDefault="00DB25E1" w:rsidP="00DB25E1">
      <w:pPr>
        <w:jc w:val="both"/>
        <w:rPr>
          <w:sz w:val="22"/>
          <w:szCs w:val="22"/>
          <w:lang w:val="en-US"/>
        </w:rPr>
      </w:pPr>
      <w:r>
        <w:rPr>
          <w:sz w:val="22"/>
          <w:szCs w:val="22"/>
          <w:lang w:val="en-US"/>
        </w:rPr>
        <w:t>Provide a complete list of all your publications (peer reviewed and not), communications and posters.</w:t>
      </w:r>
    </w:p>
    <w:sectPr w:rsidR="00DB25E1" w:rsidRPr="00DB25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0D09" w:rsidRDefault="00070D09" w:rsidP="00DB25E1">
      <w:r>
        <w:separator/>
      </w:r>
    </w:p>
  </w:endnote>
  <w:endnote w:type="continuationSeparator" w:id="0">
    <w:p w:rsidR="00070D09" w:rsidRDefault="00070D09" w:rsidP="00DB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0D09" w:rsidRDefault="00070D09" w:rsidP="00DB25E1">
      <w:r>
        <w:separator/>
      </w:r>
    </w:p>
  </w:footnote>
  <w:footnote w:type="continuationSeparator" w:id="0">
    <w:p w:rsidR="00070D09" w:rsidRDefault="00070D09" w:rsidP="00DB2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E3A9F"/>
    <w:multiLevelType w:val="hybridMultilevel"/>
    <w:tmpl w:val="030C564A"/>
    <w:lvl w:ilvl="0" w:tplc="AD04FB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84971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E1"/>
    <w:rsid w:val="00065756"/>
    <w:rsid w:val="00070D09"/>
    <w:rsid w:val="0018049C"/>
    <w:rsid w:val="002549C0"/>
    <w:rsid w:val="004367F0"/>
    <w:rsid w:val="00CD412D"/>
    <w:rsid w:val="00DB25E1"/>
    <w:rsid w:val="00DD53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FA521D6"/>
  <w15:chartTrackingRefBased/>
  <w15:docId w15:val="{7959DE2B-E3DD-5044-BDC5-0488287D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25E1"/>
    <w:pPr>
      <w:tabs>
        <w:tab w:val="center" w:pos="4536"/>
        <w:tab w:val="right" w:pos="9072"/>
      </w:tabs>
    </w:pPr>
  </w:style>
  <w:style w:type="character" w:customStyle="1" w:styleId="En-tteCar">
    <w:name w:val="En-tête Car"/>
    <w:basedOn w:val="Policepardfaut"/>
    <w:link w:val="En-tte"/>
    <w:uiPriority w:val="99"/>
    <w:rsid w:val="00DB25E1"/>
  </w:style>
  <w:style w:type="paragraph" w:styleId="Pieddepage">
    <w:name w:val="footer"/>
    <w:basedOn w:val="Normal"/>
    <w:link w:val="PieddepageCar"/>
    <w:uiPriority w:val="99"/>
    <w:unhideWhenUsed/>
    <w:rsid w:val="00DB25E1"/>
    <w:pPr>
      <w:tabs>
        <w:tab w:val="center" w:pos="4536"/>
        <w:tab w:val="right" w:pos="9072"/>
      </w:tabs>
    </w:pPr>
  </w:style>
  <w:style w:type="character" w:customStyle="1" w:styleId="PieddepageCar">
    <w:name w:val="Pied de page Car"/>
    <w:basedOn w:val="Policepardfaut"/>
    <w:link w:val="Pieddepage"/>
    <w:uiPriority w:val="99"/>
    <w:rsid w:val="00DB25E1"/>
  </w:style>
  <w:style w:type="paragraph" w:customStyle="1" w:styleId="Default">
    <w:name w:val="Default"/>
    <w:rsid w:val="00DB25E1"/>
    <w:pPr>
      <w:autoSpaceDE w:val="0"/>
      <w:autoSpaceDN w:val="0"/>
      <w:adjustRightInd w:val="0"/>
    </w:pPr>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300</Words>
  <Characters>1650</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2023-12-01T08:30:00Z</dcterms:created>
  <dcterms:modified xsi:type="dcterms:W3CDTF">2023-12-01T09:19:00Z</dcterms:modified>
</cp:coreProperties>
</file>